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B99B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eastAsia="黑体"/>
          <w:color w:val="auto"/>
          <w:szCs w:val="32"/>
          <w:lang w:eastAsia="zh-CN"/>
        </w:rPr>
      </w:pPr>
      <w:r>
        <w:rPr>
          <w:rFonts w:hAnsi="黑体" w:eastAsia="黑体"/>
          <w:color w:val="auto"/>
          <w:szCs w:val="32"/>
        </w:rPr>
        <w:t>附件</w:t>
      </w:r>
      <w:r>
        <w:rPr>
          <w:rFonts w:hint="eastAsia" w:eastAsia="黑体"/>
          <w:color w:val="auto"/>
          <w:szCs w:val="32"/>
          <w:lang w:val="en-US" w:eastAsia="zh-CN"/>
        </w:rPr>
        <w:t>3</w:t>
      </w:r>
    </w:p>
    <w:p w14:paraId="6A73754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2024年湖北省科学实验展演汇演活动</w:t>
      </w:r>
    </w:p>
    <w:p w14:paraId="1DAAB73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评比规则</w:t>
      </w:r>
    </w:p>
    <w:bookmarkEnd w:id="0"/>
    <w:p w14:paraId="7842879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  <w:szCs w:val="32"/>
        </w:rPr>
      </w:pPr>
    </w:p>
    <w:p w14:paraId="788CEAB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Cs w:val="32"/>
        </w:rPr>
      </w:pPr>
      <w:r>
        <w:rPr>
          <w:rFonts w:hAnsi="黑体" w:eastAsia="黑体"/>
          <w:color w:val="auto"/>
          <w:szCs w:val="32"/>
        </w:rPr>
        <w:t>一、第一阶段规则</w:t>
      </w:r>
    </w:p>
    <w:p w14:paraId="535D6D6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第一阶段展演汇演总分</w:t>
      </w:r>
      <w:r>
        <w:rPr>
          <w:color w:val="auto"/>
          <w:szCs w:val="32"/>
        </w:rPr>
        <w:t>100</w:t>
      </w:r>
      <w:r>
        <w:rPr>
          <w:rFonts w:hAnsi="仿宋_GB2312"/>
          <w:color w:val="auto"/>
          <w:szCs w:val="32"/>
        </w:rPr>
        <w:t>分，代表队的得分为去掉</w:t>
      </w:r>
      <w:r>
        <w:rPr>
          <w:rFonts w:hAnsi="仿宋_GB2312"/>
          <w:color w:val="auto"/>
          <w:szCs w:val="32"/>
          <w:lang w:eastAsia="zh-Hans"/>
        </w:rPr>
        <w:t>评委</w:t>
      </w:r>
      <w:r>
        <w:rPr>
          <w:rFonts w:hAnsi="仿宋_GB2312"/>
          <w:color w:val="auto"/>
          <w:szCs w:val="32"/>
        </w:rPr>
        <w:t>最高分和最低分后的平均得分，评分保留到小数点后</w:t>
      </w:r>
      <w:r>
        <w:rPr>
          <w:rFonts w:hAnsi="仿宋_GB2312"/>
          <w:color w:val="auto"/>
          <w:szCs w:val="32"/>
          <w:lang w:eastAsia="zh-Hans"/>
        </w:rPr>
        <w:t>两</w:t>
      </w:r>
      <w:r>
        <w:rPr>
          <w:rFonts w:hAnsi="仿宋_GB2312"/>
          <w:color w:val="auto"/>
          <w:szCs w:val="32"/>
        </w:rPr>
        <w:t>位，超时由记分员直接在计算得到的平均得分中扣除，并作为代表队该阶段最终得分。</w:t>
      </w:r>
    </w:p>
    <w:p w14:paraId="2D08293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1.</w:t>
      </w:r>
      <w:r>
        <w:rPr>
          <w:rFonts w:hAnsi="仿宋_GB2312"/>
          <w:color w:val="auto"/>
          <w:szCs w:val="32"/>
        </w:rPr>
        <w:t>评分按照百分制打分，评委分别从实验内容、演示效果、整体形象三方面进行评分，实验展演限时</w:t>
      </w:r>
      <w:r>
        <w:rPr>
          <w:color w:val="auto"/>
          <w:szCs w:val="32"/>
        </w:rPr>
        <w:t>6</w:t>
      </w:r>
      <w:r>
        <w:rPr>
          <w:rFonts w:hAnsi="仿宋_GB2312"/>
          <w:color w:val="auto"/>
          <w:szCs w:val="32"/>
        </w:rPr>
        <w:t>分钟。</w:t>
      </w:r>
    </w:p>
    <w:p w14:paraId="3568D20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①实验内容（</w:t>
      </w:r>
      <w:r>
        <w:rPr>
          <w:color w:val="auto"/>
          <w:szCs w:val="32"/>
        </w:rPr>
        <w:t>50</w:t>
      </w:r>
      <w:r>
        <w:rPr>
          <w:rFonts w:hAnsi="仿宋_GB2312"/>
          <w:color w:val="auto"/>
          <w:szCs w:val="32"/>
        </w:rPr>
        <w:t>分）</w:t>
      </w:r>
    </w:p>
    <w:p w14:paraId="7B6597D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科学准确，重点突出；</w:t>
      </w:r>
    </w:p>
    <w:p w14:paraId="57F0B8A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通俗易懂，深入浅出。</w:t>
      </w:r>
    </w:p>
    <w:p w14:paraId="31C0DCB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fldChar w:fldCharType="begin"/>
      </w:r>
      <w:r>
        <w:rPr>
          <w:color w:val="auto"/>
          <w:szCs w:val="32"/>
        </w:rPr>
        <w:instrText xml:space="preserve"> = 2 \* GB3 </w:instrText>
      </w:r>
      <w:r>
        <w:rPr>
          <w:color w:val="auto"/>
          <w:szCs w:val="32"/>
        </w:rPr>
        <w:fldChar w:fldCharType="separate"/>
      </w:r>
      <w:r>
        <w:rPr>
          <w:rFonts w:hAnsi="仿宋_GB2312"/>
          <w:color w:val="auto"/>
          <w:szCs w:val="32"/>
        </w:rPr>
        <w:t>②</w:t>
      </w:r>
      <w:r>
        <w:rPr>
          <w:color w:val="auto"/>
          <w:szCs w:val="32"/>
        </w:rPr>
        <w:fldChar w:fldCharType="end"/>
      </w:r>
      <w:r>
        <w:rPr>
          <w:rFonts w:hAnsi="仿宋_GB2312"/>
          <w:color w:val="auto"/>
          <w:szCs w:val="32"/>
        </w:rPr>
        <w:t>演示效果（</w:t>
      </w:r>
      <w:r>
        <w:rPr>
          <w:color w:val="auto"/>
          <w:szCs w:val="32"/>
        </w:rPr>
        <w:t>40</w:t>
      </w:r>
      <w:r>
        <w:rPr>
          <w:rFonts w:hAnsi="仿宋_GB2312"/>
          <w:color w:val="auto"/>
          <w:szCs w:val="32"/>
        </w:rPr>
        <w:t>分）</w:t>
      </w:r>
    </w:p>
    <w:p w14:paraId="1BF5317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动作标准，快速准确；</w:t>
      </w:r>
    </w:p>
    <w:p w14:paraId="74F0B5C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简单易学，互动性强。</w:t>
      </w:r>
    </w:p>
    <w:p w14:paraId="3A4783D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fldChar w:fldCharType="begin"/>
      </w:r>
      <w:r>
        <w:rPr>
          <w:color w:val="auto"/>
          <w:szCs w:val="32"/>
        </w:rPr>
        <w:instrText xml:space="preserve"> = 3 \* GB3 </w:instrText>
      </w:r>
      <w:r>
        <w:rPr>
          <w:color w:val="auto"/>
          <w:szCs w:val="32"/>
        </w:rPr>
        <w:fldChar w:fldCharType="separate"/>
      </w:r>
      <w:r>
        <w:rPr>
          <w:rFonts w:hAnsi="仿宋_GB2312"/>
          <w:color w:val="auto"/>
          <w:szCs w:val="32"/>
        </w:rPr>
        <w:t>③</w:t>
      </w:r>
      <w:r>
        <w:rPr>
          <w:color w:val="auto"/>
          <w:szCs w:val="32"/>
        </w:rPr>
        <w:fldChar w:fldCharType="end"/>
      </w:r>
      <w:r>
        <w:rPr>
          <w:rFonts w:hAnsi="仿宋_GB2312"/>
          <w:color w:val="auto"/>
          <w:szCs w:val="32"/>
        </w:rPr>
        <w:t>整体形象（</w:t>
      </w:r>
      <w:r>
        <w:rPr>
          <w:color w:val="auto"/>
          <w:szCs w:val="32"/>
        </w:rPr>
        <w:t>10</w:t>
      </w:r>
      <w:r>
        <w:rPr>
          <w:rFonts w:hAnsi="仿宋_GB2312"/>
          <w:color w:val="auto"/>
          <w:szCs w:val="32"/>
        </w:rPr>
        <w:t>分）</w:t>
      </w:r>
    </w:p>
    <w:p w14:paraId="5C71EAE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衣着整齐，精神饱满；</w:t>
      </w:r>
    </w:p>
    <w:p w14:paraId="488DD62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举止大方，自然得体。</w:t>
      </w:r>
    </w:p>
    <w:p w14:paraId="6F78E49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2.</w:t>
      </w:r>
      <w:r>
        <w:rPr>
          <w:rFonts w:hAnsi="仿宋_GB2312"/>
          <w:color w:val="auto"/>
          <w:szCs w:val="32"/>
        </w:rPr>
        <w:t>其他计分</w:t>
      </w:r>
    </w:p>
    <w:p w14:paraId="018B2B8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自选实验视频限时</w:t>
      </w:r>
      <w:r>
        <w:rPr>
          <w:color w:val="auto"/>
          <w:szCs w:val="32"/>
        </w:rPr>
        <w:t>6</w:t>
      </w:r>
      <w:r>
        <w:rPr>
          <w:rFonts w:hAnsi="仿宋_GB2312"/>
          <w:color w:val="auto"/>
          <w:szCs w:val="32"/>
        </w:rPr>
        <w:t>分钟，超时</w:t>
      </w:r>
      <w:r>
        <w:rPr>
          <w:color w:val="auto"/>
          <w:szCs w:val="32"/>
        </w:rPr>
        <w:t>10</w:t>
      </w:r>
      <w:r>
        <w:rPr>
          <w:rFonts w:hAnsi="仿宋_GB2312"/>
          <w:color w:val="auto"/>
          <w:szCs w:val="32"/>
        </w:rPr>
        <w:t>秒以内（含</w:t>
      </w:r>
      <w:r>
        <w:rPr>
          <w:color w:val="auto"/>
          <w:szCs w:val="32"/>
        </w:rPr>
        <w:t>10</w:t>
      </w:r>
      <w:r>
        <w:rPr>
          <w:rFonts w:hAnsi="仿宋_GB2312"/>
          <w:color w:val="auto"/>
          <w:szCs w:val="32"/>
        </w:rPr>
        <w:t>秒）扣</w:t>
      </w:r>
      <w:r>
        <w:rPr>
          <w:color w:val="auto"/>
          <w:szCs w:val="32"/>
        </w:rPr>
        <w:t>0.5</w:t>
      </w:r>
      <w:r>
        <w:rPr>
          <w:rFonts w:hAnsi="仿宋_GB2312"/>
          <w:color w:val="auto"/>
          <w:szCs w:val="32"/>
        </w:rPr>
        <w:t>分，超时</w:t>
      </w:r>
      <w:r>
        <w:rPr>
          <w:color w:val="auto"/>
          <w:szCs w:val="32"/>
        </w:rPr>
        <w:t>10</w:t>
      </w:r>
      <w:r>
        <w:rPr>
          <w:rFonts w:hAnsi="仿宋_GB2312"/>
          <w:color w:val="auto"/>
          <w:szCs w:val="32"/>
        </w:rPr>
        <w:t>秒以上到</w:t>
      </w:r>
      <w:r>
        <w:rPr>
          <w:color w:val="auto"/>
          <w:szCs w:val="32"/>
        </w:rPr>
        <w:t>15</w:t>
      </w:r>
      <w:r>
        <w:rPr>
          <w:rFonts w:hAnsi="仿宋_GB2312"/>
          <w:color w:val="auto"/>
          <w:szCs w:val="32"/>
        </w:rPr>
        <w:t>秒（含</w:t>
      </w:r>
      <w:r>
        <w:rPr>
          <w:color w:val="auto"/>
          <w:szCs w:val="32"/>
        </w:rPr>
        <w:t>15</w:t>
      </w:r>
      <w:r>
        <w:rPr>
          <w:rFonts w:hAnsi="仿宋_GB2312"/>
          <w:color w:val="auto"/>
          <w:szCs w:val="32"/>
        </w:rPr>
        <w:t>秒）后实验中止</w:t>
      </w:r>
      <w:r>
        <w:rPr>
          <w:rFonts w:hAnsi="仿宋_GB2312"/>
          <w:color w:val="auto"/>
          <w:szCs w:val="32"/>
          <w:lang w:eastAsia="zh-Hans"/>
        </w:rPr>
        <w:t>，</w:t>
      </w:r>
      <w:r>
        <w:rPr>
          <w:rFonts w:hAnsi="仿宋_GB2312"/>
          <w:color w:val="auto"/>
          <w:szCs w:val="32"/>
        </w:rPr>
        <w:t>扣</w:t>
      </w:r>
      <w:r>
        <w:rPr>
          <w:color w:val="auto"/>
          <w:szCs w:val="32"/>
        </w:rPr>
        <w:t>1</w:t>
      </w:r>
      <w:r>
        <w:rPr>
          <w:rFonts w:hAnsi="仿宋_GB2312"/>
          <w:color w:val="auto"/>
          <w:szCs w:val="32"/>
        </w:rPr>
        <w:t>分。</w:t>
      </w:r>
    </w:p>
    <w:p w14:paraId="3B18140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3.</w:t>
      </w:r>
      <w:r>
        <w:rPr>
          <w:rFonts w:hAnsi="仿宋_GB2312"/>
          <w:color w:val="auto"/>
          <w:szCs w:val="32"/>
        </w:rPr>
        <w:t>补充说明</w:t>
      </w:r>
    </w:p>
    <w:p w14:paraId="73B364D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若遇代表队总分数相同则按</w:t>
      </w:r>
      <w:r>
        <w:rPr>
          <w:rFonts w:hAnsi="仿宋_GB2312"/>
          <w:color w:val="auto"/>
          <w:szCs w:val="32"/>
          <w:lang w:eastAsia="zh-Hans"/>
        </w:rPr>
        <w:t>评委</w:t>
      </w:r>
      <w:r>
        <w:rPr>
          <w:rFonts w:hAnsi="仿宋_GB2312"/>
          <w:color w:val="auto"/>
          <w:szCs w:val="32"/>
        </w:rPr>
        <w:t>第二个最高分高低决定名次，若第二个最高分相同则按第三个最高分高低决定名次，以此类推；若遇打分均相同，则在监督组的监督下抽签决定名次。</w:t>
      </w:r>
    </w:p>
    <w:p w14:paraId="6A28B93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Cs w:val="32"/>
        </w:rPr>
      </w:pPr>
      <w:r>
        <w:rPr>
          <w:rFonts w:hAnsi="黑体" w:eastAsia="黑体"/>
          <w:color w:val="auto"/>
          <w:szCs w:val="32"/>
        </w:rPr>
        <w:t>二、第二阶段规则</w:t>
      </w:r>
    </w:p>
    <w:p w14:paraId="42543B1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  <w:lang w:eastAsia="zh-Hans"/>
        </w:rPr>
        <w:t>第二阶段</w:t>
      </w:r>
      <w:r>
        <w:rPr>
          <w:rFonts w:hAnsi="仿宋_GB2312"/>
          <w:color w:val="auto"/>
          <w:szCs w:val="32"/>
        </w:rPr>
        <w:t>展演汇演总分</w:t>
      </w:r>
      <w:r>
        <w:rPr>
          <w:color w:val="auto"/>
          <w:szCs w:val="32"/>
        </w:rPr>
        <w:t>100</w:t>
      </w:r>
      <w:r>
        <w:rPr>
          <w:rFonts w:hAnsi="仿宋_GB2312"/>
          <w:color w:val="auto"/>
          <w:szCs w:val="32"/>
        </w:rPr>
        <w:t>分，邀请七名专家担任</w:t>
      </w:r>
      <w:r>
        <w:rPr>
          <w:rFonts w:hAnsi="仿宋_GB2312"/>
          <w:color w:val="auto"/>
          <w:szCs w:val="32"/>
          <w:lang w:eastAsia="zh-Hans"/>
        </w:rPr>
        <w:t>现场</w:t>
      </w:r>
      <w:r>
        <w:rPr>
          <w:rFonts w:hAnsi="仿宋_GB2312"/>
          <w:color w:val="auto"/>
          <w:szCs w:val="32"/>
        </w:rPr>
        <w:t>评委，共同对展演环节和问答环节进行打分，并对代表队整体表现进行点评。代表队得分为去掉</w:t>
      </w:r>
      <w:r>
        <w:rPr>
          <w:rFonts w:hAnsi="仿宋_GB2312"/>
          <w:color w:val="auto"/>
          <w:szCs w:val="32"/>
          <w:lang w:eastAsia="zh-Hans"/>
        </w:rPr>
        <w:t>评委</w:t>
      </w:r>
      <w:r>
        <w:rPr>
          <w:rFonts w:hAnsi="仿宋_GB2312"/>
          <w:color w:val="auto"/>
          <w:szCs w:val="32"/>
        </w:rPr>
        <w:t>最高分和最低分后的平均得分，评分保留到小数点后一位，超时由记分员进行扣分，扣分直接在计算得到的平均得分中扣除。</w:t>
      </w:r>
    </w:p>
    <w:p w14:paraId="01A4D69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1.</w:t>
      </w:r>
      <w:r>
        <w:rPr>
          <w:rFonts w:hAnsi="仿宋_GB2312"/>
          <w:color w:val="auto"/>
          <w:szCs w:val="32"/>
        </w:rPr>
        <w:t>自选试验（</w:t>
      </w:r>
      <w:r>
        <w:rPr>
          <w:color w:val="auto"/>
          <w:szCs w:val="32"/>
        </w:rPr>
        <w:t>80</w:t>
      </w:r>
      <w:r>
        <w:rPr>
          <w:rFonts w:hAnsi="仿宋_GB2312"/>
          <w:color w:val="auto"/>
          <w:szCs w:val="32"/>
        </w:rPr>
        <w:t>分）</w:t>
      </w:r>
    </w:p>
    <w:p w14:paraId="03AEC2A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评分规则同第一阶段。</w:t>
      </w:r>
    </w:p>
    <w:p w14:paraId="2FAEC8F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2.</w:t>
      </w:r>
      <w:r>
        <w:rPr>
          <w:rFonts w:hAnsi="仿宋_GB2312"/>
          <w:color w:val="auto"/>
          <w:szCs w:val="32"/>
        </w:rPr>
        <w:t>评委问答（</w:t>
      </w:r>
      <w:r>
        <w:rPr>
          <w:color w:val="auto"/>
          <w:szCs w:val="32"/>
        </w:rPr>
        <w:t>20</w:t>
      </w:r>
      <w:r>
        <w:rPr>
          <w:rFonts w:hAnsi="仿宋_GB2312"/>
          <w:color w:val="auto"/>
          <w:szCs w:val="32"/>
        </w:rPr>
        <w:t>分）</w:t>
      </w:r>
    </w:p>
    <w:p w14:paraId="0D0F428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决赛评委就代表队的自选实验进行提问，问题由评委随机提出，评委问答环节限时</w:t>
      </w:r>
      <w:r>
        <w:rPr>
          <w:color w:val="auto"/>
          <w:szCs w:val="32"/>
        </w:rPr>
        <w:t>2</w:t>
      </w:r>
      <w:r>
        <w:rPr>
          <w:rFonts w:hAnsi="仿宋_GB2312"/>
          <w:color w:val="auto"/>
          <w:szCs w:val="32"/>
        </w:rPr>
        <w:t>分钟，超时</w:t>
      </w:r>
      <w:r>
        <w:rPr>
          <w:color w:val="auto"/>
          <w:szCs w:val="32"/>
        </w:rPr>
        <w:t>10</w:t>
      </w:r>
      <w:r>
        <w:rPr>
          <w:rFonts w:hAnsi="仿宋_GB2312"/>
          <w:color w:val="auto"/>
          <w:szCs w:val="32"/>
        </w:rPr>
        <w:t>秒后终止，该环节由评委打分。</w:t>
      </w:r>
    </w:p>
    <w:p w14:paraId="1ECC701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Cs w:val="32"/>
        </w:rPr>
      </w:pPr>
      <w:r>
        <w:rPr>
          <w:rFonts w:hAnsi="黑体" w:eastAsia="黑体"/>
          <w:color w:val="auto"/>
          <w:szCs w:val="32"/>
        </w:rPr>
        <w:t>三、展演汇演监督</w:t>
      </w:r>
    </w:p>
    <w:p w14:paraId="2C9EE9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监督组全程监督活动过程，并对活动过程中出现的问题及投诉情况进行调查处理。</w:t>
      </w:r>
    </w:p>
    <w:p w14:paraId="66A42750">
      <w:r>
        <w:rPr>
          <w:color w:val="auto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5820079D"/>
    <w:rsid w:val="582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2024-08-21T08:14:00Z</dcterms:created>
  <dc:creator>-</dc:creator>
  <cp:lastModifiedBy>-</cp:lastModifiedBy>
  <dcterms:modified xsi:type="dcterms:W3CDTF">2024-08-21T08:15:12Z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EEE15EB3BD9C4BCD97C58FF76FEBFAFA_11</vt:lpwstr>
  </property>
</Properties>
</file>